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jc w:val="center"/>
        <w:rPr>
          <w:rFonts w:ascii="Calibri" w:eastAsia="Times New Roman" w:hAnsi="Calibri" w:cs="Times New Roman"/>
          <w:b/>
          <w:noProof/>
          <w:u w:val="single"/>
          <w:lang w:val="fr-FR" w:eastAsia="hi-IN" w:bidi="hi-IN"/>
        </w:rPr>
      </w:pPr>
      <w:r w:rsidRPr="00DE2E7F">
        <w:rPr>
          <w:rFonts w:ascii="Calibri" w:eastAsia="Times New Roman" w:hAnsi="Calibri" w:cs="Times New Roman"/>
          <w:b/>
          <w:noProof/>
          <w:u w:val="single"/>
          <w:lang w:val="fr-FR" w:eastAsia="hi-IN" w:bidi="hi-IN"/>
        </w:rPr>
        <w:t>Table des matières</w:t>
      </w:r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  <w:hyperlink w:anchor="_Toc387591568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hi-IN" w:bidi="hi-IN"/>
          </w:rPr>
          <w:t>INTRODUCTION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instrText xml:space="preserve"> PAGEREF _Toc387591568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>4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  <w:hyperlink w:anchor="_Toc387591569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hi-IN" w:bidi="hi-IN"/>
          </w:rPr>
          <w:t>Première Partie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  <w:hyperlink w:anchor="_Toc387591570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hi-IN" w:bidi="hi-IN"/>
          </w:rPr>
          <w:t>RÛMÎ: UN TRÉSOR D’INSPIRATION ET DE SAGESSE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71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Un homme de tous les temps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_Toc387591571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7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  <w:hyperlink w:anchor="_Toc387591572" w:history="1"/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73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L’homme des temps difficiles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_Toc387591573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7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74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Un poète de la Justice, de la liberté et de l’amour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_Toc387591574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9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75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L’universalité de son message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_Toc387591575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10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76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Les juristes et les hommes d’Etat, admirateurs de Rûmî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_Toc387591576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12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  <w:hyperlink w:anchor="_Toc387591577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hi-IN" w:bidi="hi-IN"/>
          </w:rPr>
          <w:t>Deuxième Partie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  <w:hyperlink w:anchor="_Toc387591578" w:history="1">
        <w:r w:rsidRPr="00DE2E7F">
          <w:rPr>
            <w:rFonts w:ascii="Palatino Linotype" w:eastAsia="Times New Roman" w:hAnsi="Palatino Linotype" w:cs="Times New Roman"/>
            <w:b/>
            <w:bCs/>
            <w:noProof/>
            <w:spacing w:val="-2"/>
            <w:u w:val="single"/>
            <w:lang w:val="fr-FR" w:eastAsia="hi-IN" w:bidi="hi-IN"/>
          </w:rPr>
          <w:t>LE MATHNAWI : GUIDE CONTEMPORAIN DES ESPRITS LIBRES ET DYNAMIQUES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79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Un guide holistique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_Toc387591579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16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80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Une base pour une paix durable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_Toc387591580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19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81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Un Guide pour un avenir prospère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_Toc387591581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19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u w:val="single"/>
          <w:lang w:val="fr-FR" w:eastAsia="hi-IN" w:bidi="hi-IN"/>
        </w:rPr>
      </w:pPr>
      <w:hyperlink w:anchor="_Toc387591582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fr-FR" w:bidi="hi-IN"/>
          </w:rPr>
          <w:t>Troisième Partie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u w:val="single"/>
          <w:lang w:val="fr-FR" w:eastAsia="hi-IN" w:bidi="hi-IN"/>
        </w:rPr>
      </w:pPr>
      <w:r w:rsidRPr="00DE2E7F">
        <w:rPr>
          <w:rFonts w:ascii="Cambria" w:eastAsia="Times New Roman" w:hAnsi="Cambria" w:cs="Palatino Linotype"/>
          <w:b/>
          <w:bCs/>
          <w:spacing w:val="10"/>
          <w:lang w:val="fr-FR" w:eastAsia="fr-FR"/>
        </w:rPr>
        <w:t>LA CONCEPTION DE LA LIBERTÉ ET DES DROITS DE L’HOMME CHEZ RÛMÎ</w:t>
      </w:r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83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fr-FR"/>
          </w:rPr>
          <w:t xml:space="preserve">L’individu </w:t>
        </w:r>
        <w:r w:rsidRPr="00DE2E7F">
          <w:rPr>
            <w:rFonts w:ascii="Cambria" w:eastAsia="Times New Roman" w:hAnsi="Cambria" w:cs="Times New Roman"/>
            <w:b/>
            <w:bCs/>
            <w:noProof/>
            <w:spacing w:val="20"/>
            <w:u w:val="single"/>
            <w:lang w:val="fr-FR" w:eastAsia="fr-FR"/>
          </w:rPr>
          <w:t>libre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_Toc387591583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20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84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fr-FR"/>
          </w:rPr>
          <w:t>Une société libre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_Toc387591584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22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Le </w:t>
      </w:r>
      <w:hyperlink w:anchor="_Toc387591585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fr-FR"/>
          </w:rPr>
          <w:t>Droit à la vie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_Toc387591585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27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86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tr-TR" w:eastAsia="tr-TR"/>
          </w:rPr>
          <w:t>L’interdiction de la torture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_Toc387591586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29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587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tr-TR"/>
          </w:rPr>
          <w:t>L’interdiction de la servitude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_Toc387591587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32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Le </w:t>
      </w:r>
      <w:hyperlink w:anchor="_Toc387591588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fr-FR"/>
          </w:rPr>
          <w:t>Droit à un  procès équitable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_Toc387591588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33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440"/>
        <w:rPr>
          <w:rFonts w:ascii="Palatino Linotype" w:eastAsia="Times New Roman" w:hAnsi="Palatino Linotype" w:cs="Times New Roman"/>
          <w:bCs/>
          <w:iCs/>
          <w:noProof/>
          <w:lang w:val="tr-T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Le </w:t>
      </w:r>
      <w:hyperlink w:anchor="_Toc387591589" w:history="1">
        <w:r w:rsidRPr="00DE2E7F">
          <w:rPr>
            <w:rFonts w:ascii="Palatino Linotype" w:eastAsia="Times New Roman" w:hAnsi="Palatino Linotype" w:cs="Times New Roman"/>
            <w:bCs/>
            <w:iCs/>
            <w:noProof/>
            <w:u w:val="single"/>
            <w:lang w:val="tr-TR" w:eastAsia="fr-FR"/>
          </w:rPr>
          <w:t>Principe de la procédure contentieuse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ab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begin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instrText xml:space="preserve"> PAGEREF _Toc387591589 \h </w:instrTex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separate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>33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440"/>
        <w:rPr>
          <w:rFonts w:ascii="Palatino Linotype" w:eastAsia="Times New Roman" w:hAnsi="Palatino Linotype" w:cs="Times New Roman"/>
          <w:bCs/>
          <w:iCs/>
          <w:noProof/>
          <w:lang w:val="tr-T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Le </w:t>
      </w:r>
      <w:hyperlink w:anchor="_Toc387591590" w:history="1">
        <w:r w:rsidRPr="00DE2E7F">
          <w:rPr>
            <w:rFonts w:ascii="Cambria" w:eastAsia="Times New Roman" w:hAnsi="Cambria" w:cs="Mangal"/>
            <w:bCs/>
            <w:iCs/>
            <w:noProof/>
            <w:kern w:val="1"/>
            <w:u w:val="single"/>
            <w:lang w:val="tr-TR" w:eastAsia="hi-IN" w:bidi="hi-IN"/>
          </w:rPr>
          <w:t>Principe du contradictoire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ab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begin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instrText xml:space="preserve"> PAGEREF _Toc387591590 \h </w:instrTex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separate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>33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440"/>
        <w:rPr>
          <w:rFonts w:ascii="Palatino Linotype" w:eastAsia="Times New Roman" w:hAnsi="Palatino Linotype" w:cs="Times New Roman"/>
          <w:bCs/>
          <w:iCs/>
          <w:noProof/>
          <w:lang w:val="tr-TR" w:eastAsia="fr-FR"/>
        </w:rPr>
      </w:pPr>
      <w:hyperlink w:anchor="_Toc387591591" w:history="1">
        <w:r w:rsidRPr="00DE2E7F">
          <w:rPr>
            <w:rFonts w:ascii="Cambria" w:eastAsia="Times New Roman" w:hAnsi="Cambria" w:cs="Mangal"/>
            <w:bCs/>
            <w:iCs/>
            <w:noProof/>
            <w:kern w:val="1"/>
            <w:u w:val="single"/>
            <w:lang w:val="tr-TR" w:eastAsia="hi-IN" w:bidi="hi-IN"/>
          </w:rPr>
          <w:t>L’impartialité et l’indépendance de la Justice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ab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begin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instrText xml:space="preserve"> PAGEREF _Toc387591591 \h </w:instrTex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separate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>35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440"/>
        <w:rPr>
          <w:rFonts w:ascii="Palatino Linotype" w:eastAsia="Times New Roman" w:hAnsi="Palatino Linotype" w:cs="Times New Roman"/>
          <w:bCs/>
          <w:iCs/>
          <w:noProof/>
          <w:lang w:val="tr-T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Le </w:t>
      </w:r>
      <w:hyperlink w:anchor="_Toc387591592" w:history="1">
        <w:r w:rsidRPr="00DE2E7F">
          <w:rPr>
            <w:rFonts w:ascii="Palatino Linotype" w:eastAsia="Times New Roman" w:hAnsi="Palatino Linotype" w:cs="Times New Roman"/>
            <w:bCs/>
            <w:iCs/>
            <w:noProof/>
            <w:u w:val="single"/>
            <w:lang w:val="tr-TR" w:eastAsia="fr-FR"/>
          </w:rPr>
          <w:t>Témoignage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ab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begin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instrText xml:space="preserve"> PAGEREF _Toc387591592 \h </w:instrTex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separate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>37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593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fr-FR"/>
          </w:rPr>
          <w:t>Liberté de pensée, de conscience et de religion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_Toc387591593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40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594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fr-FR"/>
          </w:rPr>
          <w:t>Liberté d'expression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_Toc387591594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41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595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fr-FR"/>
          </w:rPr>
          <w:t>Liberté d'association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_Toc387591595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43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>L’</w:t>
      </w:r>
      <w:hyperlink w:anchor="_Toc387591596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 w:eastAsia="fr-FR"/>
          </w:rPr>
          <w:t>Interdiction de  discrimination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_Toc387591596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43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598" w:history="1">
        <w:r w:rsidRPr="00DE2E7F">
          <w:rPr>
            <w:rFonts w:ascii="Cambria" w:eastAsia="Times New Roman" w:hAnsi="Cambria" w:cs="Mangal"/>
            <w:b/>
            <w:bCs/>
            <w:noProof/>
            <w:kern w:val="1"/>
            <w:u w:val="single"/>
            <w:lang w:val="fr-FR" w:eastAsia="hi-IN" w:bidi="hi-IN"/>
          </w:rPr>
          <w:t>Protection administrative et juridictionnelle des droits de l'Homme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_Toc387591598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43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u w:val="single"/>
          <w:lang w:val="fr-FR" w:eastAsia="hi-IN" w:bidi="hi-IN"/>
        </w:rPr>
      </w:pPr>
      <w:hyperlink w:anchor="_Toc387591599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hi-IN" w:bidi="hi-IN"/>
          </w:rPr>
          <w:t>Quatrième Partie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u w:val="single"/>
          <w:lang w:val="fr-FR" w:eastAsia="hi-IN" w:bidi="hi-IN"/>
        </w:rPr>
      </w:pPr>
      <w:r w:rsidRPr="00DE2E7F">
        <w:rPr>
          <w:rFonts w:ascii="Calibri" w:eastAsia="Times New Roman" w:hAnsi="Calibri" w:cs="Times New Roman"/>
          <w:b/>
          <w:lang w:val="fr-FR" w:eastAsia="hi-IN" w:bidi="hi-IN"/>
        </w:rPr>
        <w:t>LE PRINCIPE DE LA PREEMINENCE DU DROIT SELON RÛMÎ</w:t>
      </w:r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lastRenderedPageBreak/>
        <w:t xml:space="preserve">La </w:t>
      </w:r>
      <w:hyperlink w:anchor="_Toc387591600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Prééminence du droit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hyperlink w:anchor="_Toc387591601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Etat de droit et Etat de Police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_Toc387591601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46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Le </w:t>
      </w:r>
      <w:hyperlink w:anchor="_Toc387591602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Principe de la Justice universelle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_Toc387591602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48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04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Sécurité démocratique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_Toc387591604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50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05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Politique criminelle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_Toc387591605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53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06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Proportionnalité en matière de crime et de peines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_Toc387591606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Cs/>
            <w:noProof/>
            <w:webHidden/>
            <w:lang w:val="tr-TR"/>
          </w:rPr>
          <w:t>Hata! Yer işareti tanımlanmamış.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440"/>
        <w:rPr>
          <w:rFonts w:ascii="Palatino Linotype" w:eastAsia="Times New Roman" w:hAnsi="Palatino Linotype" w:cs="Times New Roman"/>
          <w:bCs/>
          <w:iCs/>
          <w:noProof/>
          <w:lang w:val="tr-TR" w:eastAsia="fr-FR"/>
        </w:rPr>
      </w:pPr>
      <w:hyperlink w:anchor="_Toc387591607" w:history="1">
        <w:r w:rsidRPr="00DE2E7F">
          <w:rPr>
            <w:rFonts w:ascii="Cambria" w:eastAsia="Times New Roman" w:hAnsi="Cambria" w:cs="Times New Roman"/>
            <w:bCs/>
            <w:iCs/>
            <w:noProof/>
            <w:u w:val="single"/>
            <w:lang w:val="tr-TR" w:eastAsia="fr-FR"/>
          </w:rPr>
          <w:t>Histoire</w:t>
        </w:r>
        <w:r w:rsidRPr="00DE2E7F">
          <w:rPr>
            <w:rFonts w:ascii="Cambria" w:eastAsia="Times New Roman" w:hAnsi="Cambria" w:cs="Times New Roman"/>
            <w:bCs/>
            <w:i/>
            <w:iCs/>
            <w:noProof/>
            <w:u w:val="single"/>
            <w:lang w:val="tr-TR" w:eastAsia="fr-FR"/>
          </w:rPr>
          <w:t xml:space="preserve">: </w:t>
        </w:r>
        <w:r w:rsidRPr="00DE2E7F">
          <w:rPr>
            <w:rFonts w:ascii="Cambria" w:eastAsia="Times New Roman" w:hAnsi="Cambria" w:cs="Times New Roman"/>
            <w:bCs/>
            <w:iCs/>
            <w:noProof/>
            <w:u w:val="single"/>
            <w:lang w:val="tr-TR" w:eastAsia="fr-FR"/>
          </w:rPr>
          <w:t>L’homme malade, le soufi et le juge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ab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begin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instrText xml:space="preserve"> PAGEREF _Toc387591607 \h </w:instrTex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separate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>54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08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Lutte contre la  criminalité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_Toc387591608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57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440"/>
        <w:rPr>
          <w:rFonts w:ascii="Palatino Linotype" w:eastAsia="Times New Roman" w:hAnsi="Palatino Linotype" w:cs="Times New Roman"/>
          <w:bCs/>
          <w:iCs/>
          <w:noProof/>
          <w:lang w:val="tr-TR" w:eastAsia="fr-FR"/>
        </w:rPr>
      </w:pPr>
      <w:hyperlink w:anchor="_Toc387591609" w:history="1">
        <w:r w:rsidRPr="00DE2E7F">
          <w:rPr>
            <w:rFonts w:ascii="Palatino Linotype" w:eastAsia="Times New Roman" w:hAnsi="Palatino Linotype" w:cs="Times New Roman"/>
            <w:bCs/>
            <w:iCs/>
            <w:noProof/>
            <w:u w:val="single"/>
            <w:lang w:val="tr-TR" w:eastAsia="fr-FR"/>
          </w:rPr>
          <w:t>Histoire:  l'histoire de la personne qui reçut un indice du trésor enfoui au Caire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ab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begin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instrText xml:space="preserve"> PAGEREF _Toc387591609 \h </w:instrTex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separate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>58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10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/>
          </w:rPr>
          <w:t>Psychologie judiciaire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_Toc387591610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60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  <w:hyperlink w:anchor="_Toc387591611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fr-FR" w:bidi="hi-IN"/>
          </w:rPr>
          <w:t>Cinquième Partie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rPr>
          <w:rFonts w:ascii="Calibri" w:eastAsia="Times New Roman" w:hAnsi="Calibri" w:cs="Times New Roman"/>
          <w:b/>
          <w:noProof/>
          <w:lang w:val="fr-FR" w:eastAsia="fr-FR" w:bidi="hi-IN"/>
        </w:rPr>
      </w:pPr>
      <w:hyperlink w:anchor="_Toc387591612" w:history="1">
        <w:r w:rsidRPr="00DE2E7F">
          <w:rPr>
            <w:rFonts w:ascii="Cambria" w:eastAsia="Times New Roman" w:hAnsi="Cambria" w:cs="Times New Roman"/>
            <w:b/>
            <w:bCs/>
            <w:noProof/>
            <w:u w:val="single"/>
            <w:lang w:val="fr-FR" w:eastAsia="hi-IN" w:bidi="hi-IN"/>
          </w:rPr>
          <w:t>LE MESSAGE POLITIQUE ET SOCIAL DE RÛMÎ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13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Pluralité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_Toc387591613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61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Les </w:t>
      </w:r>
      <w:hyperlink w:anchor="_Toc387591614" w:history="1">
        <w:r w:rsidRPr="00DE2E7F">
          <w:rPr>
            <w:rFonts w:ascii="Calibri" w:eastAsia="Times New Roman" w:hAnsi="Calibri" w:cs="Times New Roman"/>
            <w:b/>
            <w:iCs/>
            <w:noProof/>
            <w:u w:val="single"/>
            <w:lang w:val="fr-FR"/>
          </w:rPr>
          <w:t>C</w:t>
        </w:r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hangements et réformes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_Toc387591614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62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15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Confiance dans la vie sociale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_Toc387591615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63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>L’</w:t>
      </w:r>
      <w:hyperlink w:anchor="_Toc387591616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Extrémisme et le fanatisme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_Toc387591616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64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17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Corruption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_Toc387591617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64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440"/>
        <w:rPr>
          <w:rFonts w:ascii="Palatino Linotype" w:eastAsia="Times New Roman" w:hAnsi="Palatino Linotype" w:cs="Times New Roman"/>
          <w:bCs/>
          <w:iCs/>
          <w:noProof/>
          <w:lang w:val="tr-TR" w:eastAsia="fr-FR"/>
        </w:rPr>
      </w:pPr>
      <w:hyperlink w:anchor="_Toc387591618" w:history="1">
        <w:r w:rsidRPr="00DE2E7F">
          <w:rPr>
            <w:rFonts w:ascii="Palatino Linotype" w:eastAsia="Times New Roman" w:hAnsi="Palatino Linotype" w:cs="Times New Roman"/>
            <w:bCs/>
            <w:iCs/>
            <w:noProof/>
            <w:u w:val="single"/>
            <w:lang w:val="tr-TR" w:eastAsia="fr-FR"/>
          </w:rPr>
          <w:t>Histoire : Histoire de ceux qui mangèrent le jeune éléphant par gourmandise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ab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begin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instrText xml:space="preserve"> PAGEREF _Toc387591618 \h </w:instrTex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separate"/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t>66</w:t>
        </w:r>
        <w:r w:rsidRPr="00DE2E7F">
          <w:rPr>
            <w:rFonts w:ascii="Palatino Linotype" w:eastAsia="Times New Roman" w:hAnsi="Palatino Linotype" w:cs="Times New Roman"/>
            <w:bCs/>
            <w:iCs/>
            <w:noProof/>
            <w:webHidden/>
            <w:lang w:val="tr-TR" w:eastAsia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19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Corruption judiciaire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_Toc387591619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68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20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Violence conjugale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_Toc387591620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68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b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21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Violence et le terrorisme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_Toc387591621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69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891653" w:rsidRPr="00DE2E7F" w:rsidRDefault="00891653" w:rsidP="00891653">
      <w:pPr>
        <w:tabs>
          <w:tab w:val="right" w:leader="dot" w:pos="9062"/>
        </w:tabs>
        <w:spacing w:after="100" w:line="276" w:lineRule="auto"/>
        <w:ind w:left="220"/>
        <w:rPr>
          <w:rFonts w:ascii="Calibri" w:eastAsia="Times New Roman" w:hAnsi="Calibri" w:cs="Times New Roman"/>
          <w:noProof/>
          <w:lang w:val="fr-FR" w:eastAsia="fr-FR"/>
        </w:rPr>
      </w:pPr>
      <w:r w:rsidRPr="00DE2E7F">
        <w:rPr>
          <w:rFonts w:ascii="Calibri" w:eastAsia="Times New Roman" w:hAnsi="Calibri" w:cs="Times New Roman"/>
          <w:lang w:val="fr-FR"/>
        </w:rPr>
        <w:t xml:space="preserve">La </w:t>
      </w:r>
      <w:hyperlink w:anchor="_Toc387591622" w:history="1">
        <w:r w:rsidRPr="00DE2E7F">
          <w:rPr>
            <w:rFonts w:ascii="Calibri" w:eastAsia="Times New Roman" w:hAnsi="Calibri" w:cs="Times New Roman"/>
            <w:b/>
            <w:noProof/>
            <w:u w:val="single"/>
            <w:lang w:val="fr-FR"/>
          </w:rPr>
          <w:t>Justice sociale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instrText xml:space="preserve"> PAGEREF _Toc387591622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t>70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/>
          </w:rPr>
          <w:fldChar w:fldCharType="end"/>
        </w:r>
      </w:hyperlink>
    </w:p>
    <w:p w:rsidR="00AC2930" w:rsidRDefault="00891653" w:rsidP="00891653">
      <w:hyperlink w:anchor="_Toc387591623" w:history="1">
        <w:r w:rsidRPr="00DE2E7F">
          <w:rPr>
            <w:rFonts w:ascii="Cambria" w:eastAsia="SimSun" w:hAnsi="Cambria" w:cs="Mangal"/>
            <w:b/>
            <w:bCs/>
            <w:noProof/>
            <w:kern w:val="1"/>
            <w:u w:val="single"/>
            <w:lang w:val="fr-FR" w:eastAsia="hi-IN" w:bidi="hi-IN"/>
          </w:rPr>
          <w:t>CONCLUSION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ab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fldChar w:fldCharType="begin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instrText xml:space="preserve"> PAGEREF _Toc387591623 \h </w:instrTex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fldChar w:fldCharType="separate"/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t>73</w:t>
        </w:r>
        <w:r w:rsidRPr="00DE2E7F">
          <w:rPr>
            <w:rFonts w:ascii="Calibri" w:eastAsia="Times New Roman" w:hAnsi="Calibri" w:cs="Times New Roman"/>
            <w:b/>
            <w:noProof/>
            <w:webHidden/>
            <w:lang w:val="fr-FR" w:eastAsia="hi-IN" w:bidi="hi-IN"/>
          </w:rPr>
          <w:fldChar w:fldCharType="end"/>
        </w:r>
      </w:hyperlink>
      <w:bookmarkStart w:id="0" w:name="_GoBack"/>
      <w:bookmarkEnd w:id="0"/>
    </w:p>
    <w:sectPr w:rsidR="00AC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53"/>
    <w:rsid w:val="00891653"/>
    <w:rsid w:val="00A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E7326-D382-421A-8E8A-19C691D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53"/>
    <w:rPr>
      <w:lang w:val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2015-10-27T15:10:00Z</dcterms:created>
  <dcterms:modified xsi:type="dcterms:W3CDTF">2015-10-27T15:10:00Z</dcterms:modified>
</cp:coreProperties>
</file>